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02" w:rsidRPr="003F0802" w:rsidRDefault="003F0802" w:rsidP="003F0802">
      <w:pPr>
        <w:jc w:val="center"/>
        <w:rPr>
          <w:b/>
          <w:sz w:val="24"/>
          <w:szCs w:val="24"/>
        </w:rPr>
      </w:pPr>
      <w:r w:rsidRPr="003F0802">
        <w:rPr>
          <w:b/>
          <w:sz w:val="24"/>
          <w:szCs w:val="24"/>
        </w:rPr>
        <w:t>СООБЩЕНИЕ</w:t>
      </w:r>
    </w:p>
    <w:p w:rsidR="003F0802" w:rsidRDefault="003F0802" w:rsidP="007948C4">
      <w:pPr>
        <w:ind w:right="141"/>
        <w:jc w:val="center"/>
        <w:rPr>
          <w:b/>
          <w:sz w:val="24"/>
          <w:szCs w:val="24"/>
        </w:rPr>
      </w:pPr>
      <w:r w:rsidRPr="003F0802">
        <w:rPr>
          <w:b/>
          <w:sz w:val="24"/>
          <w:szCs w:val="24"/>
        </w:rPr>
        <w:t xml:space="preserve">о раскрытии информации </w:t>
      </w:r>
      <w:proofErr w:type="gramStart"/>
      <w:r w:rsidRPr="003F0802">
        <w:rPr>
          <w:b/>
          <w:sz w:val="24"/>
          <w:szCs w:val="24"/>
        </w:rPr>
        <w:t>субъектом  розничного</w:t>
      </w:r>
      <w:proofErr w:type="gramEnd"/>
      <w:r w:rsidRPr="003F0802">
        <w:rPr>
          <w:b/>
          <w:sz w:val="24"/>
          <w:szCs w:val="24"/>
        </w:rPr>
        <w:t xml:space="preserve"> рынка электрической энергии</w:t>
      </w:r>
    </w:p>
    <w:p w:rsidR="00BB1CD9" w:rsidRDefault="00ED0189" w:rsidP="003F0802">
      <w:pPr>
        <w:jc w:val="center"/>
        <w:rPr>
          <w:b/>
          <w:sz w:val="24"/>
          <w:szCs w:val="24"/>
        </w:rPr>
      </w:pPr>
      <w:r>
        <w:rPr>
          <w:b/>
          <w:sz w:val="24"/>
          <w:szCs w:val="24"/>
        </w:rPr>
        <w:t xml:space="preserve">в соответствии с </w:t>
      </w:r>
      <w:r w:rsidR="00D5770D">
        <w:rPr>
          <w:b/>
          <w:sz w:val="24"/>
          <w:szCs w:val="24"/>
        </w:rPr>
        <w:t>Постановлением</w:t>
      </w:r>
      <w:r w:rsidR="00BB1CD9" w:rsidRPr="00BB1CD9">
        <w:rPr>
          <w:b/>
          <w:sz w:val="24"/>
          <w:szCs w:val="24"/>
        </w:rPr>
        <w:t xml:space="preserve"> </w:t>
      </w:r>
      <w:proofErr w:type="gramStart"/>
      <w:r w:rsidR="00BB1CD9" w:rsidRPr="00BB1CD9">
        <w:rPr>
          <w:b/>
          <w:sz w:val="24"/>
          <w:szCs w:val="24"/>
        </w:rPr>
        <w:t>Правительства  РФ</w:t>
      </w:r>
      <w:proofErr w:type="gramEnd"/>
      <w:r w:rsidR="00BB1CD9" w:rsidRPr="00BB1CD9">
        <w:rPr>
          <w:b/>
          <w:sz w:val="24"/>
          <w:szCs w:val="24"/>
        </w:rPr>
        <w:t xml:space="preserve"> №24 от 21.01.2004г.</w:t>
      </w:r>
    </w:p>
    <w:p w:rsidR="00423EFD" w:rsidRDefault="00423EFD"/>
    <w:tbl>
      <w:tblPr>
        <w:tblStyle w:val="a3"/>
        <w:tblW w:w="0" w:type="auto"/>
        <w:tblInd w:w="-289" w:type="dxa"/>
        <w:tblLook w:val="04A0" w:firstRow="1" w:lastRow="0" w:firstColumn="1" w:lastColumn="0" w:noHBand="0" w:noVBand="1"/>
      </w:tblPr>
      <w:tblGrid>
        <w:gridCol w:w="2269"/>
        <w:gridCol w:w="7087"/>
      </w:tblGrid>
      <w:tr w:rsidR="003F0802" w:rsidTr="00B3660D">
        <w:tc>
          <w:tcPr>
            <w:tcW w:w="9356" w:type="dxa"/>
            <w:gridSpan w:val="2"/>
          </w:tcPr>
          <w:p w:rsidR="003F0802" w:rsidRPr="00BB1CD9" w:rsidRDefault="003F0802" w:rsidP="003F0802">
            <w:pPr>
              <w:jc w:val="center"/>
              <w:rPr>
                <w:i/>
                <w:sz w:val="24"/>
                <w:szCs w:val="24"/>
              </w:rPr>
            </w:pPr>
            <w:r w:rsidRPr="00BB1CD9">
              <w:rPr>
                <w:i/>
                <w:sz w:val="24"/>
                <w:szCs w:val="24"/>
              </w:rPr>
              <w:t>Общие сведения</w:t>
            </w:r>
          </w:p>
        </w:tc>
      </w:tr>
      <w:tr w:rsidR="003F0802" w:rsidTr="00BB1CD9">
        <w:tc>
          <w:tcPr>
            <w:tcW w:w="2269" w:type="dxa"/>
          </w:tcPr>
          <w:p w:rsidR="003F0802" w:rsidRPr="00BB1CD9" w:rsidRDefault="003F0802" w:rsidP="00B3660D">
            <w:pPr>
              <w:rPr>
                <w:i/>
                <w:sz w:val="24"/>
                <w:szCs w:val="24"/>
              </w:rPr>
            </w:pPr>
            <w:r w:rsidRPr="00BB1CD9">
              <w:rPr>
                <w:i/>
                <w:sz w:val="24"/>
                <w:szCs w:val="24"/>
              </w:rPr>
              <w:t>Полное наименование</w:t>
            </w:r>
          </w:p>
        </w:tc>
        <w:tc>
          <w:tcPr>
            <w:tcW w:w="7087" w:type="dxa"/>
          </w:tcPr>
          <w:p w:rsidR="003F0802" w:rsidRDefault="003F0802" w:rsidP="00B3660D">
            <w:pPr>
              <w:rPr>
                <w:sz w:val="24"/>
                <w:szCs w:val="24"/>
              </w:rPr>
            </w:pPr>
            <w:r>
              <w:rPr>
                <w:sz w:val="24"/>
                <w:szCs w:val="24"/>
              </w:rPr>
              <w:t xml:space="preserve">Акционерное общество «Группа «Илим» </w:t>
            </w:r>
          </w:p>
          <w:p w:rsidR="003F0802" w:rsidRDefault="003F0802" w:rsidP="00B3660D">
            <w:pPr>
              <w:rPr>
                <w:sz w:val="24"/>
                <w:szCs w:val="24"/>
              </w:rPr>
            </w:pPr>
            <w:r>
              <w:rPr>
                <w:sz w:val="24"/>
                <w:szCs w:val="24"/>
              </w:rPr>
              <w:t>Ф</w:t>
            </w:r>
            <w:r w:rsidRPr="00F5311E">
              <w:rPr>
                <w:sz w:val="24"/>
                <w:szCs w:val="24"/>
              </w:rPr>
              <w:t>илиал А</w:t>
            </w:r>
            <w:r>
              <w:rPr>
                <w:sz w:val="24"/>
                <w:szCs w:val="24"/>
              </w:rPr>
              <w:t xml:space="preserve">кционерного </w:t>
            </w:r>
            <w:r w:rsidRPr="00F5311E">
              <w:rPr>
                <w:sz w:val="24"/>
                <w:szCs w:val="24"/>
              </w:rPr>
              <w:t>О</w:t>
            </w:r>
            <w:r>
              <w:rPr>
                <w:sz w:val="24"/>
                <w:szCs w:val="24"/>
              </w:rPr>
              <w:t>бщества</w:t>
            </w:r>
            <w:r w:rsidRPr="00F5311E">
              <w:rPr>
                <w:sz w:val="24"/>
                <w:szCs w:val="24"/>
              </w:rPr>
              <w:t xml:space="preserve"> "Группа "Илим" в </w:t>
            </w:r>
            <w:proofErr w:type="spellStart"/>
            <w:r w:rsidRPr="00F5311E">
              <w:rPr>
                <w:sz w:val="24"/>
                <w:szCs w:val="24"/>
              </w:rPr>
              <w:t>г.Усть-Илимске</w:t>
            </w:r>
            <w:proofErr w:type="spellEnd"/>
          </w:p>
        </w:tc>
      </w:tr>
      <w:tr w:rsidR="003F0802" w:rsidTr="00BB1CD9">
        <w:tc>
          <w:tcPr>
            <w:tcW w:w="2269" w:type="dxa"/>
          </w:tcPr>
          <w:p w:rsidR="003F0802" w:rsidRPr="00BB1CD9" w:rsidRDefault="003F0802" w:rsidP="00B3660D">
            <w:pPr>
              <w:rPr>
                <w:i/>
                <w:sz w:val="24"/>
                <w:szCs w:val="24"/>
              </w:rPr>
            </w:pPr>
            <w:r w:rsidRPr="00BB1CD9">
              <w:rPr>
                <w:i/>
                <w:sz w:val="24"/>
                <w:szCs w:val="24"/>
              </w:rPr>
              <w:t>Сокращенное наименование</w:t>
            </w:r>
          </w:p>
        </w:tc>
        <w:tc>
          <w:tcPr>
            <w:tcW w:w="7087" w:type="dxa"/>
          </w:tcPr>
          <w:p w:rsidR="003F0802" w:rsidRDefault="003F0802" w:rsidP="00B3660D">
            <w:pPr>
              <w:rPr>
                <w:sz w:val="24"/>
                <w:szCs w:val="24"/>
              </w:rPr>
            </w:pPr>
            <w:r>
              <w:rPr>
                <w:sz w:val="24"/>
                <w:szCs w:val="24"/>
              </w:rPr>
              <w:t>АО «Группа «Илим»</w:t>
            </w:r>
          </w:p>
          <w:p w:rsidR="003F0802" w:rsidRDefault="003F0802" w:rsidP="00B3660D">
            <w:pPr>
              <w:rPr>
                <w:sz w:val="24"/>
                <w:szCs w:val="24"/>
              </w:rPr>
            </w:pPr>
            <w:r>
              <w:rPr>
                <w:sz w:val="24"/>
                <w:szCs w:val="24"/>
              </w:rPr>
              <w:t>Ф</w:t>
            </w:r>
            <w:r w:rsidRPr="00F5311E">
              <w:rPr>
                <w:sz w:val="24"/>
                <w:szCs w:val="24"/>
              </w:rPr>
              <w:t xml:space="preserve">илиал АО "Группа "Илим" в </w:t>
            </w:r>
            <w:proofErr w:type="spellStart"/>
            <w:r w:rsidRPr="00F5311E">
              <w:rPr>
                <w:sz w:val="24"/>
                <w:szCs w:val="24"/>
              </w:rPr>
              <w:t>г.Усть-Илимске</w:t>
            </w:r>
            <w:proofErr w:type="spellEnd"/>
          </w:p>
        </w:tc>
      </w:tr>
      <w:tr w:rsidR="003F0802" w:rsidTr="00BB1CD9">
        <w:tc>
          <w:tcPr>
            <w:tcW w:w="2269" w:type="dxa"/>
          </w:tcPr>
          <w:p w:rsidR="003F0802" w:rsidRPr="00BB1CD9" w:rsidRDefault="003F0802" w:rsidP="00B3660D">
            <w:pPr>
              <w:rPr>
                <w:i/>
                <w:sz w:val="24"/>
                <w:szCs w:val="24"/>
              </w:rPr>
            </w:pPr>
            <w:r w:rsidRPr="00BB1CD9">
              <w:rPr>
                <w:i/>
                <w:sz w:val="24"/>
                <w:szCs w:val="24"/>
              </w:rPr>
              <w:t xml:space="preserve">Место нахождения                    </w:t>
            </w:r>
          </w:p>
        </w:tc>
        <w:tc>
          <w:tcPr>
            <w:tcW w:w="7087" w:type="dxa"/>
          </w:tcPr>
          <w:p w:rsidR="003F0802" w:rsidRDefault="003F0802" w:rsidP="00B3660D">
            <w:pPr>
              <w:rPr>
                <w:sz w:val="24"/>
                <w:szCs w:val="24"/>
              </w:rPr>
            </w:pPr>
            <w:r>
              <w:rPr>
                <w:sz w:val="24"/>
                <w:szCs w:val="24"/>
              </w:rPr>
              <w:t xml:space="preserve">Российская Федерация, </w:t>
            </w:r>
            <w:r w:rsidRPr="00467D1F">
              <w:rPr>
                <w:sz w:val="24"/>
                <w:szCs w:val="24"/>
              </w:rPr>
              <w:t>191025, Росс</w:t>
            </w:r>
            <w:r>
              <w:rPr>
                <w:sz w:val="24"/>
                <w:szCs w:val="24"/>
              </w:rPr>
              <w:t>ия, Санкт-Петербург, ул. Марата, 17</w:t>
            </w:r>
            <w:r w:rsidRPr="00467D1F">
              <w:rPr>
                <w:sz w:val="24"/>
                <w:szCs w:val="24"/>
              </w:rPr>
              <w:t xml:space="preserve"> </w:t>
            </w:r>
          </w:p>
        </w:tc>
      </w:tr>
      <w:tr w:rsidR="003F0802" w:rsidTr="00BB1CD9">
        <w:tc>
          <w:tcPr>
            <w:tcW w:w="2269" w:type="dxa"/>
          </w:tcPr>
          <w:p w:rsidR="003F0802" w:rsidRPr="00BB1CD9" w:rsidRDefault="003F0802" w:rsidP="00B3660D">
            <w:pPr>
              <w:rPr>
                <w:i/>
                <w:sz w:val="24"/>
                <w:szCs w:val="24"/>
              </w:rPr>
            </w:pPr>
            <w:r w:rsidRPr="00BB1CD9">
              <w:rPr>
                <w:i/>
                <w:sz w:val="24"/>
                <w:szCs w:val="24"/>
              </w:rPr>
              <w:t xml:space="preserve">Фактический адрес                    </w:t>
            </w:r>
          </w:p>
        </w:tc>
        <w:tc>
          <w:tcPr>
            <w:tcW w:w="7087" w:type="dxa"/>
          </w:tcPr>
          <w:p w:rsidR="003F0802" w:rsidRDefault="003F0802" w:rsidP="00B3660D">
            <w:pPr>
              <w:rPr>
                <w:sz w:val="24"/>
                <w:szCs w:val="24"/>
              </w:rPr>
            </w:pPr>
            <w:r w:rsidRPr="00F5311E">
              <w:rPr>
                <w:sz w:val="24"/>
                <w:szCs w:val="24"/>
              </w:rPr>
              <w:t xml:space="preserve">666684, Россия, Иркутская область, </w:t>
            </w:r>
            <w:proofErr w:type="spellStart"/>
            <w:r w:rsidRPr="00F5311E">
              <w:rPr>
                <w:sz w:val="24"/>
                <w:szCs w:val="24"/>
              </w:rPr>
              <w:t>промплощадка</w:t>
            </w:r>
            <w:proofErr w:type="spellEnd"/>
            <w:r w:rsidRPr="00F5311E">
              <w:rPr>
                <w:sz w:val="24"/>
                <w:szCs w:val="24"/>
              </w:rPr>
              <w:t xml:space="preserve"> ЛПК, а/я 353</w:t>
            </w:r>
          </w:p>
        </w:tc>
      </w:tr>
      <w:tr w:rsidR="003F0802" w:rsidTr="00BB1CD9">
        <w:tc>
          <w:tcPr>
            <w:tcW w:w="2269" w:type="dxa"/>
          </w:tcPr>
          <w:p w:rsidR="003F0802" w:rsidRPr="00BB1CD9" w:rsidRDefault="003F0802" w:rsidP="00B3660D">
            <w:pPr>
              <w:rPr>
                <w:i/>
                <w:sz w:val="24"/>
                <w:szCs w:val="24"/>
              </w:rPr>
            </w:pPr>
            <w:r w:rsidRPr="00BB1CD9">
              <w:rPr>
                <w:i/>
                <w:sz w:val="24"/>
                <w:szCs w:val="24"/>
              </w:rPr>
              <w:t>ИНН</w:t>
            </w:r>
          </w:p>
        </w:tc>
        <w:tc>
          <w:tcPr>
            <w:tcW w:w="7087" w:type="dxa"/>
          </w:tcPr>
          <w:p w:rsidR="003F0802" w:rsidRDefault="003F0802" w:rsidP="00B3660D">
            <w:pPr>
              <w:rPr>
                <w:sz w:val="24"/>
                <w:szCs w:val="24"/>
              </w:rPr>
            </w:pPr>
            <w:r>
              <w:rPr>
                <w:sz w:val="24"/>
                <w:szCs w:val="24"/>
              </w:rPr>
              <w:t>7840346335</w:t>
            </w:r>
          </w:p>
        </w:tc>
      </w:tr>
      <w:tr w:rsidR="003F0802" w:rsidTr="00BB1CD9">
        <w:tc>
          <w:tcPr>
            <w:tcW w:w="2269" w:type="dxa"/>
          </w:tcPr>
          <w:p w:rsidR="003F0802" w:rsidRPr="00BB1CD9" w:rsidRDefault="003F0802" w:rsidP="00B3660D">
            <w:pPr>
              <w:rPr>
                <w:i/>
                <w:sz w:val="24"/>
                <w:szCs w:val="24"/>
              </w:rPr>
            </w:pPr>
            <w:r w:rsidRPr="00BB1CD9">
              <w:rPr>
                <w:i/>
                <w:sz w:val="24"/>
                <w:szCs w:val="24"/>
              </w:rPr>
              <w:t>КПП</w:t>
            </w:r>
          </w:p>
        </w:tc>
        <w:tc>
          <w:tcPr>
            <w:tcW w:w="7087" w:type="dxa"/>
          </w:tcPr>
          <w:p w:rsidR="003F0802" w:rsidRDefault="003F0802" w:rsidP="00B3660D">
            <w:pPr>
              <w:rPr>
                <w:sz w:val="24"/>
                <w:szCs w:val="24"/>
              </w:rPr>
            </w:pPr>
            <w:r>
              <w:rPr>
                <w:sz w:val="24"/>
                <w:szCs w:val="24"/>
              </w:rPr>
              <w:t>381702001</w:t>
            </w:r>
          </w:p>
        </w:tc>
      </w:tr>
      <w:tr w:rsidR="00D5770D" w:rsidTr="00BB1CD9">
        <w:tc>
          <w:tcPr>
            <w:tcW w:w="2269" w:type="dxa"/>
          </w:tcPr>
          <w:p w:rsidR="00D5770D" w:rsidRPr="00BB1CD9" w:rsidRDefault="00D5770D" w:rsidP="00D5770D">
            <w:pPr>
              <w:rPr>
                <w:i/>
                <w:sz w:val="24"/>
                <w:szCs w:val="24"/>
              </w:rPr>
            </w:pPr>
            <w:r>
              <w:rPr>
                <w:i/>
                <w:sz w:val="24"/>
                <w:szCs w:val="24"/>
              </w:rPr>
              <w:t xml:space="preserve">Отчетный месяц </w:t>
            </w:r>
          </w:p>
        </w:tc>
        <w:tc>
          <w:tcPr>
            <w:tcW w:w="7087" w:type="dxa"/>
          </w:tcPr>
          <w:p w:rsidR="00D5770D" w:rsidRDefault="000F2AB4" w:rsidP="00B3660D">
            <w:pPr>
              <w:rPr>
                <w:sz w:val="24"/>
                <w:szCs w:val="24"/>
              </w:rPr>
            </w:pPr>
            <w:r>
              <w:rPr>
                <w:sz w:val="24"/>
                <w:szCs w:val="24"/>
              </w:rPr>
              <w:t xml:space="preserve">Июнь </w:t>
            </w:r>
            <w:r w:rsidR="00273796">
              <w:rPr>
                <w:sz w:val="24"/>
                <w:szCs w:val="24"/>
              </w:rPr>
              <w:t>2018</w:t>
            </w:r>
          </w:p>
        </w:tc>
      </w:tr>
      <w:tr w:rsidR="00D5770D" w:rsidTr="00273796">
        <w:trPr>
          <w:trHeight w:val="505"/>
        </w:trPr>
        <w:tc>
          <w:tcPr>
            <w:tcW w:w="2269" w:type="dxa"/>
          </w:tcPr>
          <w:p w:rsidR="00D5770D" w:rsidRDefault="00D5770D" w:rsidP="00B3660D">
            <w:pPr>
              <w:rPr>
                <w:i/>
                <w:sz w:val="24"/>
                <w:szCs w:val="24"/>
              </w:rPr>
            </w:pPr>
            <w:r>
              <w:rPr>
                <w:i/>
                <w:sz w:val="24"/>
                <w:szCs w:val="24"/>
              </w:rPr>
              <w:t>Адрес раскрытия</w:t>
            </w:r>
          </w:p>
        </w:tc>
        <w:tc>
          <w:tcPr>
            <w:tcW w:w="7087" w:type="dxa"/>
          </w:tcPr>
          <w:p w:rsidR="00D5770D" w:rsidRDefault="00A160D6" w:rsidP="00273796">
            <w:pPr>
              <w:pStyle w:val="ConsPlusNormal"/>
              <w:ind w:firstLine="0"/>
              <w:jc w:val="both"/>
              <w:rPr>
                <w:sz w:val="24"/>
                <w:szCs w:val="24"/>
              </w:rPr>
            </w:pPr>
            <w:hyperlink r:id="rId4" w:history="1">
              <w:r w:rsidR="00273796" w:rsidRPr="00273796">
                <w:rPr>
                  <w:rStyle w:val="a6"/>
                  <w:rFonts w:ascii="Times New Roman" w:hAnsi="Times New Roman" w:cs="Times New Roman"/>
                  <w:szCs w:val="24"/>
                </w:rPr>
                <w:t>http://www.ilimgroup.ru/aktsioneram/raskrytie-informatsii/informatsiya-dlya-zainteresovannykh-lits/</w:t>
              </w:r>
            </w:hyperlink>
          </w:p>
        </w:tc>
      </w:tr>
    </w:tbl>
    <w:p w:rsidR="003F0802" w:rsidRDefault="003F0802"/>
    <w:tbl>
      <w:tblPr>
        <w:tblStyle w:val="a3"/>
        <w:tblW w:w="0" w:type="auto"/>
        <w:tblInd w:w="-289" w:type="dxa"/>
        <w:tblLook w:val="04A0" w:firstRow="1" w:lastRow="0" w:firstColumn="1" w:lastColumn="0" w:noHBand="0" w:noVBand="1"/>
      </w:tblPr>
      <w:tblGrid>
        <w:gridCol w:w="9356"/>
      </w:tblGrid>
      <w:tr w:rsidR="003F0802" w:rsidRPr="00BB1CD9" w:rsidTr="00B3660D">
        <w:tc>
          <w:tcPr>
            <w:tcW w:w="9356" w:type="dxa"/>
          </w:tcPr>
          <w:p w:rsidR="003F0802" w:rsidRPr="00BB1CD9" w:rsidRDefault="003F0802" w:rsidP="00BB1CD9">
            <w:pPr>
              <w:jc w:val="center"/>
              <w:rPr>
                <w:i/>
                <w:sz w:val="24"/>
                <w:szCs w:val="24"/>
              </w:rPr>
            </w:pPr>
            <w:r w:rsidRPr="00BB1CD9">
              <w:rPr>
                <w:i/>
                <w:sz w:val="24"/>
                <w:szCs w:val="24"/>
              </w:rPr>
              <w:t>Сообщение</w:t>
            </w:r>
          </w:p>
        </w:tc>
      </w:tr>
      <w:tr w:rsidR="00ED0189" w:rsidRPr="00ED0189" w:rsidTr="00B3660D">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ED0189" w:rsidRPr="00273796" w:rsidRDefault="00D5770D" w:rsidP="00A3080B">
            <w:pPr>
              <w:autoSpaceDE/>
              <w:autoSpaceDN/>
              <w:jc w:val="both"/>
              <w:rPr>
                <w:i/>
                <w:color w:val="000000"/>
                <w:sz w:val="22"/>
                <w:szCs w:val="24"/>
              </w:rPr>
            </w:pPr>
            <w:r w:rsidRPr="00273796">
              <w:rPr>
                <w:i/>
                <w:color w:val="000000"/>
                <w:sz w:val="22"/>
                <w:szCs w:val="24"/>
              </w:rPr>
              <w:t xml:space="preserve">11 б) абз.18 </w:t>
            </w:r>
            <w:r w:rsidR="00B3660D" w:rsidRPr="00273796">
              <w:rPr>
                <w:i/>
                <w:color w:val="000000"/>
                <w:sz w:val="22"/>
                <w:szCs w:val="24"/>
              </w:rPr>
              <w:t>о вводе в ремонт и выводе из ремонта электросетевых объектов с указанием сроков (сводная информация):</w:t>
            </w:r>
          </w:p>
          <w:p w:rsidR="00B3660D" w:rsidRPr="00A3080B" w:rsidRDefault="00273796" w:rsidP="00A3080B">
            <w:pPr>
              <w:autoSpaceDE/>
              <w:autoSpaceDN/>
              <w:jc w:val="both"/>
              <w:rPr>
                <w:rFonts w:eastAsia="Times New Roman"/>
                <w:i/>
                <w:color w:val="000000"/>
                <w:sz w:val="24"/>
                <w:szCs w:val="24"/>
              </w:rPr>
            </w:pPr>
            <w:r>
              <w:rPr>
                <w:b/>
                <w:i/>
                <w:color w:val="000000"/>
                <w:sz w:val="24"/>
                <w:szCs w:val="24"/>
              </w:rPr>
              <w:t>Ремонт</w:t>
            </w:r>
            <w:r w:rsidRPr="0029544F">
              <w:rPr>
                <w:b/>
                <w:i/>
                <w:color w:val="000000"/>
                <w:sz w:val="24"/>
                <w:szCs w:val="24"/>
              </w:rPr>
              <w:t xml:space="preserve"> электросетевых объектов</w:t>
            </w:r>
            <w:r>
              <w:rPr>
                <w:b/>
                <w:i/>
                <w:color w:val="000000"/>
                <w:sz w:val="24"/>
                <w:szCs w:val="24"/>
              </w:rPr>
              <w:t xml:space="preserve"> не проводился</w:t>
            </w:r>
          </w:p>
        </w:tc>
      </w:tr>
      <w:tr w:rsidR="007B315E" w:rsidRPr="00ED0189" w:rsidTr="00B3660D">
        <w:tc>
          <w:tcPr>
            <w:tcW w:w="9356" w:type="dxa"/>
          </w:tcPr>
          <w:p w:rsidR="00B3660D" w:rsidRPr="00273796" w:rsidRDefault="00D5770D" w:rsidP="00A3080B">
            <w:pPr>
              <w:autoSpaceDE/>
              <w:autoSpaceDN/>
              <w:jc w:val="both"/>
              <w:rPr>
                <w:i/>
                <w:color w:val="000000"/>
                <w:sz w:val="22"/>
                <w:szCs w:val="24"/>
              </w:rPr>
            </w:pPr>
            <w:r w:rsidRPr="00273796">
              <w:rPr>
                <w:i/>
                <w:color w:val="000000"/>
                <w:sz w:val="22"/>
                <w:szCs w:val="24"/>
              </w:rPr>
              <w:t xml:space="preserve">11 в) </w:t>
            </w:r>
            <w:r w:rsidR="00B3660D" w:rsidRPr="00273796">
              <w:rPr>
                <w:i/>
                <w:color w:val="000000"/>
                <w:sz w:val="22"/>
                <w:szCs w:val="24"/>
              </w:rPr>
              <w:t>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w:t>
            </w:r>
          </w:p>
          <w:tbl>
            <w:tblPr>
              <w:tblW w:w="9042" w:type="dxa"/>
              <w:tblLook w:val="04A0" w:firstRow="1" w:lastRow="0" w:firstColumn="1" w:lastColumn="0" w:noHBand="0" w:noVBand="1"/>
            </w:tblPr>
            <w:tblGrid>
              <w:gridCol w:w="1040"/>
              <w:gridCol w:w="1116"/>
              <w:gridCol w:w="1346"/>
              <w:gridCol w:w="1119"/>
              <w:gridCol w:w="1139"/>
              <w:gridCol w:w="1641"/>
              <w:gridCol w:w="1641"/>
            </w:tblGrid>
            <w:tr w:rsidR="00273796" w:rsidRPr="0007172D" w:rsidTr="00DE7CE5">
              <w:trPr>
                <w:trHeight w:val="1627"/>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796" w:rsidRPr="0007172D" w:rsidRDefault="00273796" w:rsidP="00273796">
                  <w:pPr>
                    <w:autoSpaceDE/>
                    <w:autoSpaceDN/>
                    <w:jc w:val="center"/>
                    <w:rPr>
                      <w:rFonts w:eastAsia="Times New Roman"/>
                      <w:color w:val="000000"/>
                      <w:sz w:val="14"/>
                      <w:szCs w:val="16"/>
                    </w:rPr>
                  </w:pPr>
                  <w:r w:rsidRPr="0007172D">
                    <w:rPr>
                      <w:rFonts w:eastAsia="Times New Roman"/>
                      <w:color w:val="000000"/>
                      <w:sz w:val="14"/>
                      <w:szCs w:val="16"/>
                    </w:rPr>
                    <w:t>Диапазон напряжения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jc w:val="center"/>
                    <w:rPr>
                      <w:rFonts w:eastAsia="Times New Roman"/>
                      <w:color w:val="000000"/>
                      <w:sz w:val="14"/>
                      <w:szCs w:val="16"/>
                    </w:rPr>
                  </w:pPr>
                  <w:r w:rsidRPr="0007172D">
                    <w:rPr>
                      <w:rFonts w:eastAsia="Times New Roman"/>
                      <w:color w:val="000000"/>
                      <w:sz w:val="14"/>
                      <w:szCs w:val="16"/>
                    </w:rPr>
                    <w:t>количество поданных заявок на подключение к сетям</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273796" w:rsidRPr="0007172D" w:rsidRDefault="009A66F0" w:rsidP="00273796">
                  <w:pPr>
                    <w:autoSpaceDE/>
                    <w:autoSpaceDN/>
                    <w:jc w:val="center"/>
                    <w:rPr>
                      <w:rFonts w:eastAsia="Times New Roman"/>
                      <w:color w:val="000000"/>
                      <w:sz w:val="14"/>
                      <w:szCs w:val="16"/>
                    </w:rPr>
                  </w:pPr>
                  <w:r>
                    <w:rPr>
                      <w:rFonts w:eastAsia="Times New Roman"/>
                      <w:color w:val="000000"/>
                      <w:sz w:val="14"/>
                      <w:szCs w:val="16"/>
                    </w:rPr>
                    <w:t>кол</w:t>
                  </w:r>
                  <w:r w:rsidR="00273796" w:rsidRPr="0007172D">
                    <w:rPr>
                      <w:rFonts w:eastAsia="Times New Roman"/>
                      <w:color w:val="000000"/>
                      <w:sz w:val="14"/>
                      <w:szCs w:val="16"/>
                    </w:rPr>
                    <w:t>ичество аннулированных заявок</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jc w:val="center"/>
                    <w:rPr>
                      <w:rFonts w:eastAsia="Times New Roman"/>
                      <w:color w:val="000000"/>
                      <w:sz w:val="14"/>
                      <w:szCs w:val="16"/>
                    </w:rPr>
                  </w:pPr>
                  <w:r w:rsidRPr="0007172D">
                    <w:rPr>
                      <w:rFonts w:eastAsia="Times New Roman"/>
                      <w:color w:val="000000"/>
                      <w:sz w:val="14"/>
                      <w:szCs w:val="16"/>
                    </w:rPr>
                    <w:t>Количество заключенных договоров (шт.)</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jc w:val="center"/>
                    <w:rPr>
                      <w:rFonts w:eastAsia="Times New Roman"/>
                      <w:color w:val="000000"/>
                      <w:sz w:val="14"/>
                      <w:szCs w:val="16"/>
                    </w:rPr>
                  </w:pPr>
                  <w:r w:rsidRPr="0007172D">
                    <w:rPr>
                      <w:rFonts w:eastAsia="Times New Roman"/>
                      <w:color w:val="000000"/>
                      <w:sz w:val="14"/>
                      <w:szCs w:val="16"/>
                    </w:rPr>
                    <w:t>Количество присоединений в отчетном периоде (шт.)</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jc w:val="center"/>
                    <w:rPr>
                      <w:rFonts w:eastAsia="Times New Roman"/>
                      <w:color w:val="000000"/>
                      <w:sz w:val="14"/>
                      <w:szCs w:val="16"/>
                    </w:rPr>
                  </w:pPr>
                  <w:r w:rsidRPr="0007172D">
                    <w:rPr>
                      <w:rFonts w:eastAsia="Times New Roman"/>
                      <w:color w:val="000000"/>
                      <w:sz w:val="14"/>
                      <w:szCs w:val="16"/>
                    </w:rPr>
                    <w:t xml:space="preserve">Объем запрашиваемой максимальной мощности </w:t>
                  </w:r>
                  <w:proofErr w:type="spellStart"/>
                  <w:r w:rsidRPr="0007172D">
                    <w:rPr>
                      <w:rFonts w:eastAsia="Times New Roman"/>
                      <w:color w:val="000000"/>
                      <w:sz w:val="14"/>
                      <w:szCs w:val="16"/>
                    </w:rPr>
                    <w:t>энергопринимающих</w:t>
                  </w:r>
                  <w:proofErr w:type="spellEnd"/>
                  <w:r w:rsidRPr="0007172D">
                    <w:rPr>
                      <w:rFonts w:eastAsia="Times New Roman"/>
                      <w:color w:val="000000"/>
                      <w:sz w:val="14"/>
                      <w:szCs w:val="16"/>
                    </w:rPr>
                    <w:t xml:space="preserve"> устройств Заявителями</w:t>
                  </w:r>
                  <w:r w:rsidRPr="0007172D">
                    <w:rPr>
                      <w:rFonts w:eastAsia="Times New Roman"/>
                      <w:color w:val="000000"/>
                      <w:sz w:val="14"/>
                      <w:szCs w:val="16"/>
                    </w:rPr>
                    <w:br/>
                    <w:t>по договорам технологического присоединения</w:t>
                  </w:r>
                  <w:r w:rsidRPr="0007172D">
                    <w:rPr>
                      <w:rFonts w:eastAsia="Times New Roman"/>
                      <w:color w:val="000000"/>
                      <w:sz w:val="14"/>
                      <w:szCs w:val="16"/>
                    </w:rPr>
                    <w:br/>
                    <w:t>(кВт)</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jc w:val="center"/>
                    <w:rPr>
                      <w:rFonts w:eastAsia="Times New Roman"/>
                      <w:color w:val="000000"/>
                      <w:sz w:val="14"/>
                      <w:szCs w:val="16"/>
                    </w:rPr>
                  </w:pPr>
                  <w:r w:rsidRPr="0007172D">
                    <w:rPr>
                      <w:rFonts w:eastAsia="Times New Roman"/>
                      <w:color w:val="000000"/>
                      <w:sz w:val="14"/>
                      <w:szCs w:val="16"/>
                    </w:rPr>
                    <w:t xml:space="preserve">Объем </w:t>
                  </w:r>
                  <w:r w:rsidRPr="0007172D">
                    <w:rPr>
                      <w:rFonts w:eastAsia="Times New Roman"/>
                      <w:color w:val="000000"/>
                      <w:sz w:val="14"/>
                      <w:szCs w:val="16"/>
                    </w:rPr>
                    <w:br/>
                    <w:t xml:space="preserve">максимальной мощности </w:t>
                  </w:r>
                  <w:proofErr w:type="spellStart"/>
                  <w:r w:rsidRPr="0007172D">
                    <w:rPr>
                      <w:rFonts w:eastAsia="Times New Roman"/>
                      <w:color w:val="000000"/>
                      <w:sz w:val="14"/>
                      <w:szCs w:val="16"/>
                    </w:rPr>
                    <w:t>энергопринимающих</w:t>
                  </w:r>
                  <w:proofErr w:type="spellEnd"/>
                  <w:r w:rsidRPr="0007172D">
                    <w:rPr>
                      <w:rFonts w:eastAsia="Times New Roman"/>
                      <w:color w:val="000000"/>
                      <w:sz w:val="14"/>
                      <w:szCs w:val="16"/>
                    </w:rPr>
                    <w:t xml:space="preserve"> устройств Заявителей в соответствии с актами об осуществлении технологического присоединения</w:t>
                  </w:r>
                  <w:r w:rsidRPr="0007172D">
                    <w:rPr>
                      <w:rFonts w:eastAsia="Times New Roman"/>
                      <w:color w:val="000000"/>
                      <w:sz w:val="14"/>
                      <w:szCs w:val="16"/>
                    </w:rPr>
                    <w:br/>
                    <w:t>(кВт)</w:t>
                  </w:r>
                </w:p>
              </w:tc>
            </w:tr>
            <w:tr w:rsidR="00273796" w:rsidRPr="0007172D" w:rsidTr="00DE7CE5">
              <w:trPr>
                <w:trHeight w:val="255"/>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rsidR="00273796" w:rsidRPr="0007172D" w:rsidRDefault="000F2AB4" w:rsidP="00273796">
                  <w:pPr>
                    <w:autoSpaceDE/>
                    <w:autoSpaceDN/>
                    <w:rPr>
                      <w:rFonts w:ascii="Arial CYR" w:eastAsia="Times New Roman" w:hAnsi="Arial CYR" w:cs="Arial CYR"/>
                      <w:b/>
                      <w:bCs/>
                      <w:sz w:val="18"/>
                    </w:rPr>
                  </w:pPr>
                  <w:r>
                    <w:rPr>
                      <w:rFonts w:ascii="Arial CYR" w:eastAsia="Times New Roman" w:hAnsi="Arial CYR" w:cs="Arial CYR"/>
                      <w:b/>
                      <w:bCs/>
                      <w:sz w:val="18"/>
                    </w:rPr>
                    <w:t>Июнь</w:t>
                  </w:r>
                </w:p>
              </w:tc>
              <w:tc>
                <w:tcPr>
                  <w:tcW w:w="1134" w:type="dxa"/>
                  <w:tcBorders>
                    <w:top w:val="nil"/>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jc w:val="center"/>
                    <w:rPr>
                      <w:rFonts w:eastAsia="Times New Roman"/>
                      <w:color w:val="000000"/>
                      <w:sz w:val="16"/>
                      <w:szCs w:val="16"/>
                    </w:rPr>
                  </w:pPr>
                  <w:r w:rsidRPr="0007172D">
                    <w:rPr>
                      <w:rFonts w:eastAsia="Times New Roman"/>
                      <w:color w:val="000000"/>
                      <w:sz w:val="16"/>
                      <w:szCs w:val="16"/>
                    </w:rPr>
                    <w:t>0</w:t>
                  </w:r>
                </w:p>
              </w:tc>
              <w:tc>
                <w:tcPr>
                  <w:tcW w:w="1370" w:type="dxa"/>
                  <w:tcBorders>
                    <w:top w:val="nil"/>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jc w:val="center"/>
                    <w:rPr>
                      <w:rFonts w:eastAsia="Times New Roman"/>
                      <w:color w:val="000000"/>
                      <w:sz w:val="16"/>
                      <w:szCs w:val="16"/>
                    </w:rPr>
                  </w:pPr>
                  <w:r w:rsidRPr="0007172D">
                    <w:rPr>
                      <w:rFonts w:eastAsia="Times New Roman"/>
                      <w:color w:val="000000"/>
                      <w:sz w:val="16"/>
                      <w:szCs w:val="16"/>
                    </w:rPr>
                    <w:t>0</w:t>
                  </w:r>
                </w:p>
              </w:tc>
              <w:tc>
                <w:tcPr>
                  <w:tcW w:w="1138" w:type="dxa"/>
                  <w:tcBorders>
                    <w:top w:val="nil"/>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jc w:val="center"/>
                    <w:rPr>
                      <w:rFonts w:eastAsia="Times New Roman"/>
                      <w:color w:val="000000"/>
                      <w:sz w:val="16"/>
                      <w:szCs w:val="16"/>
                    </w:rPr>
                  </w:pPr>
                  <w:r w:rsidRPr="0007172D">
                    <w:rPr>
                      <w:rFonts w:eastAsia="Times New Roman"/>
                      <w:color w:val="000000"/>
                      <w:sz w:val="16"/>
                      <w:szCs w:val="16"/>
                    </w:rPr>
                    <w:t>0</w:t>
                  </w:r>
                </w:p>
              </w:tc>
              <w:tc>
                <w:tcPr>
                  <w:tcW w:w="1019" w:type="dxa"/>
                  <w:tcBorders>
                    <w:top w:val="nil"/>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jc w:val="center"/>
                    <w:rPr>
                      <w:rFonts w:eastAsia="Times New Roman"/>
                      <w:color w:val="000000"/>
                      <w:sz w:val="16"/>
                      <w:szCs w:val="16"/>
                    </w:rPr>
                  </w:pPr>
                  <w:r w:rsidRPr="0007172D">
                    <w:rPr>
                      <w:rFonts w:eastAsia="Times New Roman"/>
                      <w:color w:val="000000"/>
                      <w:sz w:val="16"/>
                      <w:szCs w:val="16"/>
                    </w:rPr>
                    <w:t>0</w:t>
                  </w:r>
                </w:p>
              </w:tc>
              <w:tc>
                <w:tcPr>
                  <w:tcW w:w="1671" w:type="dxa"/>
                  <w:tcBorders>
                    <w:top w:val="nil"/>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jc w:val="center"/>
                    <w:rPr>
                      <w:rFonts w:eastAsia="Times New Roman"/>
                      <w:color w:val="000000"/>
                      <w:sz w:val="16"/>
                      <w:szCs w:val="16"/>
                    </w:rPr>
                  </w:pPr>
                  <w:r w:rsidRPr="0007172D">
                    <w:rPr>
                      <w:rFonts w:eastAsia="Times New Roman"/>
                      <w:color w:val="000000"/>
                      <w:sz w:val="16"/>
                      <w:szCs w:val="16"/>
                    </w:rPr>
                    <w:t>0</w:t>
                  </w:r>
                </w:p>
              </w:tc>
              <w:tc>
                <w:tcPr>
                  <w:tcW w:w="1671" w:type="dxa"/>
                  <w:tcBorders>
                    <w:top w:val="nil"/>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jc w:val="center"/>
                    <w:rPr>
                      <w:rFonts w:eastAsia="Times New Roman"/>
                      <w:color w:val="000000"/>
                      <w:sz w:val="16"/>
                      <w:szCs w:val="16"/>
                    </w:rPr>
                  </w:pPr>
                  <w:r w:rsidRPr="0007172D">
                    <w:rPr>
                      <w:rFonts w:eastAsia="Times New Roman"/>
                      <w:color w:val="000000"/>
                      <w:sz w:val="16"/>
                      <w:szCs w:val="16"/>
                    </w:rPr>
                    <w:t>0</w:t>
                  </w:r>
                </w:p>
              </w:tc>
            </w:tr>
          </w:tbl>
          <w:p w:rsidR="00ED0189" w:rsidRPr="00A3080B" w:rsidRDefault="00ED0189" w:rsidP="00A3080B">
            <w:pPr>
              <w:jc w:val="both"/>
              <w:rPr>
                <w:i/>
                <w:sz w:val="24"/>
                <w:szCs w:val="24"/>
              </w:rPr>
            </w:pPr>
          </w:p>
        </w:tc>
      </w:tr>
      <w:tr w:rsidR="00B3660D" w:rsidRPr="00ED0189" w:rsidTr="00B3660D">
        <w:tc>
          <w:tcPr>
            <w:tcW w:w="9356" w:type="dxa"/>
          </w:tcPr>
          <w:p w:rsidR="00B3660D" w:rsidRPr="00273796" w:rsidRDefault="00D5770D" w:rsidP="00A3080B">
            <w:pPr>
              <w:autoSpaceDE/>
              <w:autoSpaceDN/>
              <w:jc w:val="both"/>
              <w:rPr>
                <w:i/>
                <w:color w:val="000000"/>
                <w:sz w:val="22"/>
                <w:szCs w:val="24"/>
              </w:rPr>
            </w:pPr>
            <w:r>
              <w:rPr>
                <w:i/>
                <w:color w:val="000000"/>
                <w:sz w:val="24"/>
                <w:szCs w:val="24"/>
              </w:rPr>
              <w:t xml:space="preserve">11 </w:t>
            </w:r>
            <w:r w:rsidRPr="00273796">
              <w:rPr>
                <w:i/>
                <w:color w:val="000000"/>
                <w:sz w:val="22"/>
                <w:szCs w:val="24"/>
              </w:rPr>
              <w:t xml:space="preserve">м) </w:t>
            </w:r>
            <w:r w:rsidR="00B3660D" w:rsidRPr="00273796">
              <w:rPr>
                <w:i/>
                <w:color w:val="000000"/>
                <w:sz w:val="22"/>
                <w:szCs w:val="24"/>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tbl>
            <w:tblPr>
              <w:tblW w:w="9102" w:type="dxa"/>
              <w:tblLook w:val="04A0" w:firstRow="1" w:lastRow="0" w:firstColumn="1" w:lastColumn="0" w:noHBand="0" w:noVBand="1"/>
            </w:tblPr>
            <w:tblGrid>
              <w:gridCol w:w="1720"/>
              <w:gridCol w:w="294"/>
              <w:gridCol w:w="2260"/>
              <w:gridCol w:w="2418"/>
              <w:gridCol w:w="2410"/>
            </w:tblGrid>
            <w:tr w:rsidR="00273796" w:rsidRPr="0029544F" w:rsidTr="00DE7CE5">
              <w:trPr>
                <w:trHeight w:val="366"/>
              </w:trPr>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796" w:rsidRPr="0029544F" w:rsidRDefault="00273796" w:rsidP="00273796">
                  <w:pPr>
                    <w:autoSpaceDE/>
                    <w:autoSpaceDN/>
                    <w:rPr>
                      <w:rFonts w:ascii="Calibri" w:eastAsia="Times New Roman" w:hAnsi="Calibri"/>
                      <w:b/>
                      <w:bCs/>
                      <w:color w:val="000000"/>
                      <w:sz w:val="22"/>
                      <w:szCs w:val="22"/>
                    </w:rPr>
                  </w:pPr>
                  <w:r>
                    <w:rPr>
                      <w:rFonts w:ascii="Calibri" w:eastAsia="Times New Roman" w:hAnsi="Calibri"/>
                      <w:b/>
                      <w:bCs/>
                      <w:color w:val="000000"/>
                      <w:sz w:val="22"/>
                      <w:szCs w:val="22"/>
                    </w:rPr>
                    <w:t xml:space="preserve">      </w:t>
                  </w:r>
                  <w:r w:rsidRPr="0029544F">
                    <w:rPr>
                      <w:rFonts w:ascii="Calibri" w:eastAsia="Times New Roman" w:hAnsi="Calibri"/>
                      <w:b/>
                      <w:bCs/>
                      <w:color w:val="000000"/>
                      <w:sz w:val="22"/>
                      <w:szCs w:val="22"/>
                    </w:rPr>
                    <w:t>Период</w:t>
                  </w:r>
                </w:p>
              </w:tc>
              <w:tc>
                <w:tcPr>
                  <w:tcW w:w="294" w:type="dxa"/>
                  <w:tcBorders>
                    <w:top w:val="single" w:sz="4" w:space="0" w:color="auto"/>
                    <w:left w:val="nil"/>
                    <w:bottom w:val="single" w:sz="4" w:space="0" w:color="auto"/>
                    <w:right w:val="nil"/>
                  </w:tcBorders>
                </w:tcPr>
                <w:p w:rsidR="00273796" w:rsidRPr="0029544F" w:rsidRDefault="00273796" w:rsidP="00273796">
                  <w:pPr>
                    <w:autoSpaceDE/>
                    <w:autoSpaceDN/>
                    <w:jc w:val="center"/>
                    <w:rPr>
                      <w:rFonts w:ascii="Calibri" w:eastAsia="Times New Roman" w:hAnsi="Calibri"/>
                      <w:color w:val="000000"/>
                      <w:sz w:val="18"/>
                      <w:szCs w:val="18"/>
                    </w:rPr>
                  </w:pPr>
                </w:p>
              </w:tc>
              <w:tc>
                <w:tcPr>
                  <w:tcW w:w="7088" w:type="dxa"/>
                  <w:gridSpan w:val="3"/>
                  <w:tcBorders>
                    <w:top w:val="single" w:sz="4" w:space="0" w:color="auto"/>
                    <w:left w:val="nil"/>
                    <w:bottom w:val="single" w:sz="4" w:space="0" w:color="auto"/>
                    <w:right w:val="single" w:sz="4" w:space="0" w:color="auto"/>
                  </w:tcBorders>
                  <w:shd w:val="clear" w:color="auto" w:fill="auto"/>
                  <w:vAlign w:val="center"/>
                  <w:hideMark/>
                </w:tcPr>
                <w:p w:rsidR="00273796" w:rsidRPr="0029544F" w:rsidRDefault="00273796" w:rsidP="00273796">
                  <w:pPr>
                    <w:autoSpaceDE/>
                    <w:autoSpaceDN/>
                    <w:jc w:val="center"/>
                    <w:rPr>
                      <w:rFonts w:ascii="Calibri" w:eastAsia="Times New Roman" w:hAnsi="Calibri"/>
                      <w:color w:val="000000"/>
                      <w:sz w:val="18"/>
                      <w:szCs w:val="18"/>
                    </w:rPr>
                  </w:pPr>
                  <w:r w:rsidRPr="0029544F">
                    <w:rPr>
                      <w:rFonts w:ascii="Calibri" w:eastAsia="Times New Roman" w:hAnsi="Calibri"/>
                      <w:color w:val="000000"/>
                      <w:sz w:val="18"/>
                      <w:szCs w:val="18"/>
                    </w:rPr>
                    <w:t xml:space="preserve">Фактические данные за </w:t>
                  </w:r>
                  <w:r>
                    <w:rPr>
                      <w:rFonts w:ascii="Calibri" w:eastAsia="Times New Roman" w:hAnsi="Calibri"/>
                      <w:color w:val="000000"/>
                      <w:sz w:val="18"/>
                      <w:szCs w:val="18"/>
                    </w:rPr>
                    <w:t>отчетный период</w:t>
                  </w:r>
                </w:p>
              </w:tc>
            </w:tr>
            <w:tr w:rsidR="00273796" w:rsidRPr="0029544F" w:rsidTr="00DE7CE5">
              <w:trPr>
                <w:trHeight w:val="785"/>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273796" w:rsidRPr="0029544F" w:rsidRDefault="00273796" w:rsidP="00273796">
                  <w:pPr>
                    <w:autoSpaceDE/>
                    <w:autoSpaceDN/>
                    <w:rPr>
                      <w:rFonts w:ascii="Calibri" w:eastAsia="Times New Roman" w:hAnsi="Calibri"/>
                      <w:b/>
                      <w:bCs/>
                      <w:color w:val="000000"/>
                      <w:sz w:val="22"/>
                      <w:szCs w:val="22"/>
                    </w:rPr>
                  </w:pPr>
                </w:p>
              </w:tc>
              <w:tc>
                <w:tcPr>
                  <w:tcW w:w="294" w:type="dxa"/>
                  <w:tcBorders>
                    <w:top w:val="nil"/>
                    <w:left w:val="nil"/>
                    <w:bottom w:val="single" w:sz="4" w:space="0" w:color="auto"/>
                    <w:right w:val="nil"/>
                  </w:tcBorders>
                </w:tcPr>
                <w:p w:rsidR="00273796" w:rsidRPr="0029544F" w:rsidRDefault="00273796" w:rsidP="00273796">
                  <w:pPr>
                    <w:autoSpaceDE/>
                    <w:autoSpaceDN/>
                    <w:jc w:val="center"/>
                    <w:rPr>
                      <w:rFonts w:ascii="Calibri" w:eastAsia="Times New Roman" w:hAnsi="Calibri"/>
                      <w:color w:val="000000"/>
                      <w:sz w:val="16"/>
                      <w:szCs w:val="18"/>
                    </w:rPr>
                  </w:pPr>
                </w:p>
              </w:tc>
              <w:tc>
                <w:tcPr>
                  <w:tcW w:w="2260" w:type="dxa"/>
                  <w:tcBorders>
                    <w:top w:val="nil"/>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ind w:firstLine="16"/>
                    <w:rPr>
                      <w:rFonts w:ascii="Calibri" w:eastAsia="Times New Roman" w:hAnsi="Calibri"/>
                      <w:color w:val="000000"/>
                      <w:sz w:val="14"/>
                      <w:szCs w:val="18"/>
                    </w:rPr>
                  </w:pPr>
                  <w:r w:rsidRPr="0007172D">
                    <w:rPr>
                      <w:rFonts w:ascii="Calibri" w:eastAsia="Times New Roman" w:hAnsi="Calibri"/>
                      <w:color w:val="000000"/>
                      <w:sz w:val="14"/>
                      <w:szCs w:val="18"/>
                    </w:rPr>
                    <w:t xml:space="preserve">Объем электрической энергии, приобретенной по договору энергоснабжения в целях компенсации потерь, </w:t>
                  </w:r>
                  <w:proofErr w:type="spellStart"/>
                  <w:r w:rsidRPr="0007172D">
                    <w:rPr>
                      <w:rFonts w:ascii="Calibri" w:eastAsia="Times New Roman" w:hAnsi="Calibri"/>
                      <w:color w:val="000000"/>
                      <w:sz w:val="14"/>
                      <w:szCs w:val="18"/>
                    </w:rPr>
                    <w:t>тыс.кВт.ч</w:t>
                  </w:r>
                  <w:proofErr w:type="spellEnd"/>
                </w:p>
              </w:tc>
              <w:tc>
                <w:tcPr>
                  <w:tcW w:w="2418" w:type="dxa"/>
                  <w:tcBorders>
                    <w:top w:val="nil"/>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ind w:firstLine="16"/>
                    <w:rPr>
                      <w:rFonts w:ascii="Calibri" w:eastAsia="Times New Roman" w:hAnsi="Calibri"/>
                      <w:color w:val="000000"/>
                      <w:sz w:val="14"/>
                      <w:szCs w:val="18"/>
                    </w:rPr>
                  </w:pPr>
                  <w:r w:rsidRPr="0007172D">
                    <w:rPr>
                      <w:rFonts w:ascii="Calibri" w:eastAsia="Times New Roman" w:hAnsi="Calibri"/>
                      <w:color w:val="000000"/>
                      <w:sz w:val="14"/>
                      <w:szCs w:val="18"/>
                    </w:rPr>
                    <w:t xml:space="preserve">Стоимость электрической энергии, приобретенной по договору энергоснабжения в целях компенсации потерь, </w:t>
                  </w:r>
                  <w:proofErr w:type="spellStart"/>
                  <w:r w:rsidRPr="0007172D">
                    <w:rPr>
                      <w:rFonts w:ascii="Calibri" w:eastAsia="Times New Roman" w:hAnsi="Calibri"/>
                      <w:color w:val="000000"/>
                      <w:sz w:val="14"/>
                      <w:szCs w:val="18"/>
                    </w:rPr>
                    <w:t>руб</w:t>
                  </w:r>
                  <w:proofErr w:type="spellEnd"/>
                  <w:r w:rsidRPr="0007172D">
                    <w:rPr>
                      <w:rFonts w:ascii="Calibri" w:eastAsia="Times New Roman" w:hAnsi="Calibri"/>
                      <w:color w:val="000000"/>
                      <w:sz w:val="14"/>
                      <w:szCs w:val="18"/>
                    </w:rPr>
                    <w:t xml:space="preserve"> без НДС</w:t>
                  </w:r>
                </w:p>
              </w:tc>
              <w:tc>
                <w:tcPr>
                  <w:tcW w:w="2410" w:type="dxa"/>
                  <w:tcBorders>
                    <w:top w:val="nil"/>
                    <w:left w:val="nil"/>
                    <w:bottom w:val="single" w:sz="4" w:space="0" w:color="auto"/>
                    <w:right w:val="single" w:sz="4" w:space="0" w:color="auto"/>
                  </w:tcBorders>
                  <w:shd w:val="clear" w:color="auto" w:fill="auto"/>
                  <w:vAlign w:val="center"/>
                  <w:hideMark/>
                </w:tcPr>
                <w:p w:rsidR="00273796" w:rsidRPr="0007172D" w:rsidRDefault="00273796" w:rsidP="00273796">
                  <w:pPr>
                    <w:autoSpaceDE/>
                    <w:autoSpaceDN/>
                    <w:ind w:firstLine="16"/>
                    <w:rPr>
                      <w:rFonts w:ascii="Calibri" w:eastAsia="Times New Roman" w:hAnsi="Calibri"/>
                      <w:color w:val="000000"/>
                      <w:sz w:val="14"/>
                      <w:szCs w:val="18"/>
                    </w:rPr>
                  </w:pPr>
                  <w:r w:rsidRPr="0007172D">
                    <w:rPr>
                      <w:rFonts w:ascii="Calibri" w:eastAsia="Times New Roman" w:hAnsi="Calibri"/>
                      <w:color w:val="000000"/>
                      <w:sz w:val="14"/>
                      <w:szCs w:val="18"/>
                    </w:rPr>
                    <w:t xml:space="preserve">Стоимость электрической энергии, приобретенной по договору энергоснабжения в целях компенсации потерь, </w:t>
                  </w:r>
                  <w:proofErr w:type="spellStart"/>
                  <w:r w:rsidRPr="0007172D">
                    <w:rPr>
                      <w:rFonts w:ascii="Calibri" w:eastAsia="Times New Roman" w:hAnsi="Calibri"/>
                      <w:color w:val="000000"/>
                      <w:sz w:val="14"/>
                      <w:szCs w:val="18"/>
                    </w:rPr>
                    <w:t>руб</w:t>
                  </w:r>
                  <w:proofErr w:type="spellEnd"/>
                  <w:r w:rsidRPr="0007172D">
                    <w:rPr>
                      <w:rFonts w:ascii="Calibri" w:eastAsia="Times New Roman" w:hAnsi="Calibri"/>
                      <w:color w:val="000000"/>
                      <w:sz w:val="14"/>
                      <w:szCs w:val="18"/>
                    </w:rPr>
                    <w:t xml:space="preserve"> с НДС</w:t>
                  </w:r>
                </w:p>
              </w:tc>
            </w:tr>
            <w:tr w:rsidR="00273796" w:rsidRPr="0029544F" w:rsidTr="00A160D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73796" w:rsidRPr="0029544F" w:rsidRDefault="000F2AB4" w:rsidP="00273796">
                  <w:pPr>
                    <w:autoSpaceDE/>
                    <w:autoSpaceDN/>
                    <w:rPr>
                      <w:rFonts w:ascii="Calibri" w:eastAsia="Times New Roman" w:hAnsi="Calibri"/>
                      <w:color w:val="000000"/>
                      <w:sz w:val="22"/>
                      <w:szCs w:val="22"/>
                    </w:rPr>
                  </w:pPr>
                  <w:r>
                    <w:rPr>
                      <w:rFonts w:ascii="Calibri" w:eastAsia="Times New Roman" w:hAnsi="Calibri"/>
                      <w:color w:val="000000"/>
                      <w:sz w:val="22"/>
                      <w:szCs w:val="22"/>
                    </w:rPr>
                    <w:t>Июнь</w:t>
                  </w:r>
                </w:p>
              </w:tc>
              <w:tc>
                <w:tcPr>
                  <w:tcW w:w="294" w:type="dxa"/>
                  <w:tcBorders>
                    <w:top w:val="nil"/>
                    <w:left w:val="nil"/>
                    <w:bottom w:val="single" w:sz="4" w:space="0" w:color="auto"/>
                    <w:right w:val="nil"/>
                  </w:tcBorders>
                  <w:shd w:val="clear" w:color="auto" w:fill="auto"/>
                </w:tcPr>
                <w:p w:rsidR="00273796" w:rsidRPr="00A160D6" w:rsidRDefault="00273796" w:rsidP="00273796">
                  <w:pPr>
                    <w:autoSpaceDE/>
                    <w:autoSpaceDN/>
                    <w:jc w:val="right"/>
                    <w:rPr>
                      <w:rFonts w:ascii="Calibri" w:eastAsia="Times New Roman" w:hAnsi="Calibri"/>
                      <w:color w:val="000000"/>
                      <w:sz w:val="22"/>
                      <w:szCs w:val="22"/>
                    </w:rPr>
                  </w:pPr>
                </w:p>
              </w:tc>
              <w:tc>
                <w:tcPr>
                  <w:tcW w:w="2260" w:type="dxa"/>
                  <w:tcBorders>
                    <w:top w:val="nil"/>
                    <w:left w:val="nil"/>
                    <w:bottom w:val="single" w:sz="4" w:space="0" w:color="auto"/>
                    <w:right w:val="single" w:sz="4" w:space="0" w:color="auto"/>
                  </w:tcBorders>
                  <w:shd w:val="clear" w:color="auto" w:fill="auto"/>
                  <w:noWrap/>
                  <w:vAlign w:val="bottom"/>
                </w:tcPr>
                <w:p w:rsidR="00273796" w:rsidRPr="00A160D6" w:rsidRDefault="00A160D6" w:rsidP="00273796">
                  <w:pPr>
                    <w:autoSpaceDE/>
                    <w:autoSpaceDN/>
                    <w:jc w:val="right"/>
                    <w:rPr>
                      <w:rFonts w:ascii="Calibri" w:eastAsia="Times New Roman" w:hAnsi="Calibri"/>
                      <w:color w:val="000000"/>
                      <w:sz w:val="22"/>
                      <w:szCs w:val="22"/>
                    </w:rPr>
                  </w:pPr>
                  <w:r w:rsidRPr="00A160D6">
                    <w:rPr>
                      <w:rFonts w:ascii="Calibri" w:eastAsia="Times New Roman" w:hAnsi="Calibri"/>
                      <w:color w:val="000000"/>
                      <w:sz w:val="22"/>
                      <w:szCs w:val="22"/>
                    </w:rPr>
                    <w:t>27,546</w:t>
                  </w:r>
                </w:p>
              </w:tc>
              <w:tc>
                <w:tcPr>
                  <w:tcW w:w="2418" w:type="dxa"/>
                  <w:tcBorders>
                    <w:top w:val="nil"/>
                    <w:left w:val="nil"/>
                    <w:bottom w:val="single" w:sz="4" w:space="0" w:color="auto"/>
                    <w:right w:val="single" w:sz="4" w:space="0" w:color="auto"/>
                  </w:tcBorders>
                  <w:shd w:val="clear" w:color="auto" w:fill="auto"/>
                  <w:noWrap/>
                  <w:vAlign w:val="bottom"/>
                </w:tcPr>
                <w:p w:rsidR="00273796" w:rsidRPr="00A160D6" w:rsidRDefault="00A160D6" w:rsidP="00273796">
                  <w:pPr>
                    <w:jc w:val="right"/>
                    <w:rPr>
                      <w:rFonts w:ascii="Calibri" w:hAnsi="Calibri"/>
                      <w:color w:val="000000"/>
                      <w:sz w:val="22"/>
                      <w:szCs w:val="22"/>
                    </w:rPr>
                  </w:pPr>
                  <w:r w:rsidRPr="00A160D6">
                    <w:rPr>
                      <w:rFonts w:ascii="Calibri" w:hAnsi="Calibri"/>
                      <w:color w:val="000000"/>
                      <w:sz w:val="22"/>
                      <w:szCs w:val="22"/>
                    </w:rPr>
                    <w:t>42</w:t>
                  </w:r>
                  <w:r>
                    <w:rPr>
                      <w:rFonts w:ascii="Calibri" w:hAnsi="Calibri"/>
                      <w:color w:val="000000"/>
                      <w:sz w:val="22"/>
                      <w:szCs w:val="22"/>
                    </w:rPr>
                    <w:t xml:space="preserve"> </w:t>
                  </w:r>
                  <w:r w:rsidRPr="00A160D6">
                    <w:rPr>
                      <w:rFonts w:ascii="Calibri" w:hAnsi="Calibri"/>
                      <w:color w:val="000000"/>
                      <w:sz w:val="22"/>
                      <w:szCs w:val="22"/>
                    </w:rPr>
                    <w:t>741,75</w:t>
                  </w:r>
                </w:p>
              </w:tc>
              <w:tc>
                <w:tcPr>
                  <w:tcW w:w="2410" w:type="dxa"/>
                  <w:tcBorders>
                    <w:top w:val="nil"/>
                    <w:left w:val="nil"/>
                    <w:bottom w:val="single" w:sz="4" w:space="0" w:color="auto"/>
                    <w:right w:val="single" w:sz="4" w:space="0" w:color="auto"/>
                  </w:tcBorders>
                  <w:shd w:val="clear" w:color="auto" w:fill="auto"/>
                  <w:noWrap/>
                  <w:vAlign w:val="bottom"/>
                </w:tcPr>
                <w:p w:rsidR="00273796" w:rsidRPr="00A160D6" w:rsidRDefault="00A160D6" w:rsidP="00273796">
                  <w:pPr>
                    <w:jc w:val="right"/>
                    <w:rPr>
                      <w:rFonts w:ascii="Calibri" w:hAnsi="Calibri"/>
                      <w:color w:val="FFFFFF" w:themeColor="background1"/>
                      <w:sz w:val="22"/>
                      <w:szCs w:val="22"/>
                    </w:rPr>
                  </w:pPr>
                  <w:r w:rsidRPr="00A160D6">
                    <w:rPr>
                      <w:rFonts w:ascii="Calibri" w:hAnsi="Calibri"/>
                      <w:color w:val="000000"/>
                      <w:sz w:val="22"/>
                      <w:szCs w:val="22"/>
                    </w:rPr>
                    <w:t>50</w:t>
                  </w:r>
                  <w:r>
                    <w:rPr>
                      <w:rFonts w:ascii="Calibri" w:hAnsi="Calibri"/>
                      <w:color w:val="000000"/>
                      <w:sz w:val="22"/>
                      <w:szCs w:val="22"/>
                    </w:rPr>
                    <w:t xml:space="preserve"> </w:t>
                  </w:r>
                  <w:r w:rsidRPr="00A160D6">
                    <w:rPr>
                      <w:rFonts w:ascii="Calibri" w:hAnsi="Calibri"/>
                      <w:color w:val="000000"/>
                      <w:sz w:val="22"/>
                      <w:szCs w:val="22"/>
                    </w:rPr>
                    <w:t>435,27</w:t>
                  </w:r>
                </w:p>
              </w:tc>
            </w:tr>
          </w:tbl>
          <w:p w:rsidR="00B3660D" w:rsidRPr="00A3080B" w:rsidRDefault="00B3660D" w:rsidP="00A3080B">
            <w:pPr>
              <w:autoSpaceDE/>
              <w:autoSpaceDN/>
              <w:jc w:val="both"/>
              <w:rPr>
                <w:i/>
                <w:color w:val="000000"/>
                <w:sz w:val="24"/>
                <w:szCs w:val="24"/>
              </w:rPr>
            </w:pPr>
          </w:p>
        </w:tc>
      </w:tr>
      <w:tr w:rsidR="003F0802" w:rsidTr="00B3660D">
        <w:tc>
          <w:tcPr>
            <w:tcW w:w="9356" w:type="dxa"/>
          </w:tcPr>
          <w:p w:rsidR="003F0802" w:rsidRPr="00BB1CD9" w:rsidRDefault="003F0802" w:rsidP="00B3660D">
            <w:pPr>
              <w:jc w:val="center"/>
              <w:rPr>
                <w:i/>
                <w:sz w:val="24"/>
                <w:szCs w:val="24"/>
              </w:rPr>
            </w:pPr>
            <w:r w:rsidRPr="00BB1CD9">
              <w:rPr>
                <w:i/>
                <w:sz w:val="24"/>
                <w:szCs w:val="24"/>
              </w:rPr>
              <w:t>Подпись</w:t>
            </w:r>
          </w:p>
        </w:tc>
      </w:tr>
      <w:tr w:rsidR="003F0802" w:rsidTr="00B3660D">
        <w:tc>
          <w:tcPr>
            <w:tcW w:w="9356" w:type="dxa"/>
          </w:tcPr>
          <w:p w:rsidR="003F0802" w:rsidRDefault="003F0802" w:rsidP="00B3660D">
            <w:pPr>
              <w:rPr>
                <w:sz w:val="24"/>
                <w:szCs w:val="24"/>
              </w:rPr>
            </w:pPr>
            <w:r>
              <w:rPr>
                <w:sz w:val="24"/>
                <w:szCs w:val="24"/>
              </w:rPr>
              <w:t xml:space="preserve">Директор </w:t>
            </w:r>
            <w:r w:rsidR="00273796">
              <w:rPr>
                <w:sz w:val="24"/>
                <w:szCs w:val="24"/>
              </w:rPr>
              <w:t xml:space="preserve">технический </w:t>
            </w:r>
            <w:r>
              <w:rPr>
                <w:sz w:val="24"/>
                <w:szCs w:val="24"/>
              </w:rPr>
              <w:t xml:space="preserve">филиала </w:t>
            </w:r>
          </w:p>
          <w:p w:rsidR="003F0802" w:rsidRDefault="003F0802" w:rsidP="00B3660D">
            <w:pPr>
              <w:rPr>
                <w:sz w:val="24"/>
                <w:szCs w:val="24"/>
              </w:rPr>
            </w:pPr>
            <w:r>
              <w:rPr>
                <w:sz w:val="24"/>
                <w:szCs w:val="24"/>
              </w:rPr>
              <w:t xml:space="preserve">АО «Группа «Илим» в г. Усть-Илимске           _______________ </w:t>
            </w:r>
            <w:r w:rsidR="00273796">
              <w:rPr>
                <w:sz w:val="24"/>
                <w:szCs w:val="24"/>
              </w:rPr>
              <w:t>Гончаренко С.В.</w:t>
            </w:r>
          </w:p>
          <w:p w:rsidR="003F0802" w:rsidRDefault="003F0802" w:rsidP="00B3660D">
            <w:pPr>
              <w:rPr>
                <w:sz w:val="24"/>
                <w:szCs w:val="24"/>
              </w:rPr>
            </w:pPr>
          </w:p>
          <w:p w:rsidR="003F0802" w:rsidRDefault="003F0802" w:rsidP="00B3660D">
            <w:pPr>
              <w:rPr>
                <w:sz w:val="24"/>
                <w:szCs w:val="24"/>
              </w:rPr>
            </w:pPr>
            <w:r>
              <w:rPr>
                <w:sz w:val="24"/>
                <w:szCs w:val="24"/>
              </w:rPr>
              <w:t xml:space="preserve">                                                                                      М.П.</w:t>
            </w:r>
          </w:p>
          <w:p w:rsidR="003F0802" w:rsidRDefault="000F2AB4" w:rsidP="005C2778">
            <w:pPr>
              <w:rPr>
                <w:sz w:val="24"/>
                <w:szCs w:val="24"/>
              </w:rPr>
            </w:pPr>
            <w:r>
              <w:rPr>
                <w:sz w:val="24"/>
                <w:szCs w:val="24"/>
              </w:rPr>
              <w:t>«</w:t>
            </w:r>
            <w:proofErr w:type="gramStart"/>
            <w:r w:rsidR="00A160D6" w:rsidRPr="00A160D6">
              <w:rPr>
                <w:sz w:val="24"/>
                <w:szCs w:val="24"/>
              </w:rPr>
              <w:t>17</w:t>
            </w:r>
            <w:r w:rsidR="00FA2D37">
              <w:rPr>
                <w:sz w:val="24"/>
                <w:szCs w:val="24"/>
              </w:rPr>
              <w:t>»</w:t>
            </w:r>
            <w:r>
              <w:rPr>
                <w:sz w:val="24"/>
                <w:szCs w:val="24"/>
              </w:rPr>
              <w:t>июл</w:t>
            </w:r>
            <w:r w:rsidR="000B21A1">
              <w:rPr>
                <w:sz w:val="24"/>
                <w:szCs w:val="24"/>
              </w:rPr>
              <w:t>я</w:t>
            </w:r>
            <w:proofErr w:type="gramEnd"/>
            <w:r w:rsidR="00FA2D37">
              <w:rPr>
                <w:sz w:val="24"/>
                <w:szCs w:val="24"/>
              </w:rPr>
              <w:t xml:space="preserve"> </w:t>
            </w:r>
            <w:r w:rsidR="00D5770D">
              <w:rPr>
                <w:sz w:val="24"/>
                <w:szCs w:val="24"/>
              </w:rPr>
              <w:t xml:space="preserve">2018 г. </w:t>
            </w:r>
          </w:p>
        </w:tc>
      </w:tr>
    </w:tbl>
    <w:p w:rsidR="003F0802" w:rsidRDefault="003F0802" w:rsidP="00273796">
      <w:bookmarkStart w:id="0" w:name="_GoBack"/>
      <w:bookmarkEnd w:id="0"/>
    </w:p>
    <w:sectPr w:rsidR="003F0802" w:rsidSect="00273796">
      <w:pgSz w:w="11906" w:h="16838"/>
      <w:pgMar w:top="993"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02"/>
    <w:rsid w:val="000B21A1"/>
    <w:rsid w:val="000F2AB4"/>
    <w:rsid w:val="00273796"/>
    <w:rsid w:val="003F0802"/>
    <w:rsid w:val="003F7636"/>
    <w:rsid w:val="00423EFD"/>
    <w:rsid w:val="005C2778"/>
    <w:rsid w:val="005F59B6"/>
    <w:rsid w:val="006E772A"/>
    <w:rsid w:val="006F60EC"/>
    <w:rsid w:val="007948C4"/>
    <w:rsid w:val="007B315E"/>
    <w:rsid w:val="009A66F0"/>
    <w:rsid w:val="00A160D6"/>
    <w:rsid w:val="00A3080B"/>
    <w:rsid w:val="00AD4678"/>
    <w:rsid w:val="00B3660D"/>
    <w:rsid w:val="00BB1CD9"/>
    <w:rsid w:val="00BD183D"/>
    <w:rsid w:val="00C7397C"/>
    <w:rsid w:val="00D0517F"/>
    <w:rsid w:val="00D5770D"/>
    <w:rsid w:val="00ED0189"/>
    <w:rsid w:val="00FA2D37"/>
    <w:rsid w:val="00FA2E2F"/>
    <w:rsid w:val="00FF2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F51A7-4653-4DA5-9610-98C57A60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802"/>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802"/>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48C4"/>
    <w:rPr>
      <w:rFonts w:ascii="Segoe UI" w:hAnsi="Segoe UI" w:cs="Segoe UI"/>
      <w:sz w:val="18"/>
      <w:szCs w:val="18"/>
    </w:rPr>
  </w:style>
  <w:style w:type="character" w:customStyle="1" w:styleId="a5">
    <w:name w:val="Текст выноски Знак"/>
    <w:basedOn w:val="a0"/>
    <w:link w:val="a4"/>
    <w:uiPriority w:val="99"/>
    <w:semiHidden/>
    <w:rsid w:val="007948C4"/>
    <w:rPr>
      <w:rFonts w:ascii="Segoe UI" w:eastAsiaTheme="minorEastAsia" w:hAnsi="Segoe UI" w:cs="Segoe UI"/>
      <w:sz w:val="18"/>
      <w:szCs w:val="18"/>
      <w:lang w:eastAsia="ru-RU"/>
    </w:rPr>
  </w:style>
  <w:style w:type="paragraph" w:customStyle="1" w:styleId="ConsPlusNormal">
    <w:name w:val="ConsPlusNormal"/>
    <w:rsid w:val="0027379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rsid w:val="00273796"/>
    <w:rPr>
      <w:color w:val="0000FF"/>
      <w:u w:val="single"/>
    </w:rPr>
  </w:style>
  <w:style w:type="character" w:styleId="a7">
    <w:name w:val="FollowedHyperlink"/>
    <w:basedOn w:val="a0"/>
    <w:uiPriority w:val="99"/>
    <w:semiHidden/>
    <w:unhideWhenUsed/>
    <w:rsid w:val="002737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6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limgroup.ru/aktsioneram/raskrytie-informatsii/informatsiya-dlya-zainteresovannykh-li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Марина Сергеевна</dc:creator>
  <cp:keywords/>
  <dc:description/>
  <cp:lastModifiedBy>Остапенко Светлана Михайловна</cp:lastModifiedBy>
  <cp:revision>13</cp:revision>
  <cp:lastPrinted>2018-04-20T12:15:00Z</cp:lastPrinted>
  <dcterms:created xsi:type="dcterms:W3CDTF">2018-05-04T01:32:00Z</dcterms:created>
  <dcterms:modified xsi:type="dcterms:W3CDTF">2018-07-17T06:04:00Z</dcterms:modified>
</cp:coreProperties>
</file>